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3C908" w14:textId="77777777" w:rsidR="00CD5017" w:rsidRDefault="00CD501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9E3FA26" w14:textId="77777777" w:rsidR="00CD5017" w:rsidRDefault="00CD501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A0026CD" w14:textId="77777777" w:rsidR="00CD5017" w:rsidRDefault="00CD501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2DD3348" w14:textId="77777777" w:rsidR="00CD5017" w:rsidRDefault="00000000">
      <w:pPr>
        <w:spacing w:after="0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Zagadnienia </w:t>
      </w:r>
      <w:r>
        <w:rPr>
          <w:rFonts w:ascii="Times New Roman" w:hAnsi="Times New Roman" w:cs="Times New Roman"/>
          <w:b/>
          <w:bCs/>
          <w:color w:val="00B0F0"/>
          <w:sz w:val="28"/>
          <w:szCs w:val="28"/>
        </w:rPr>
        <w:t>kierunkowe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do egzaminu dyplomowego</w:t>
      </w:r>
    </w:p>
    <w:p w14:paraId="3B051C76" w14:textId="77777777" w:rsidR="00CD5017" w:rsidRDefault="00000000">
      <w:pPr>
        <w:spacing w:after="0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kierunek </w:t>
      </w:r>
      <w:r>
        <w:rPr>
          <w:rFonts w:ascii="Times New Roman" w:hAnsi="Times New Roman" w:cs="Times New Roman"/>
          <w:b/>
          <w:bCs/>
          <w:color w:val="00B0F0"/>
          <w:sz w:val="28"/>
          <w:szCs w:val="28"/>
        </w:rPr>
        <w:t>Doradztwo inwestycyjno-gospodarcze</w:t>
      </w:r>
    </w:p>
    <w:p w14:paraId="4E21A366" w14:textId="77777777" w:rsidR="00CD5017" w:rsidRDefault="0000000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studia dualne I stopnia, profil praktyczny</w:t>
      </w:r>
    </w:p>
    <w:p w14:paraId="7B86534C" w14:textId="77777777" w:rsidR="00CD5017" w:rsidRDefault="00CD501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6B36833E" w14:textId="77777777" w:rsidR="00CD5017" w:rsidRDefault="00CD5017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555CC73" w14:textId="77777777" w:rsidR="00CD5017" w:rsidRDefault="0000000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Rodzaje instrumentów pochodnych i przykłady ich zastosowania.</w:t>
      </w:r>
    </w:p>
    <w:p w14:paraId="6791130B" w14:textId="77777777" w:rsidR="00CD5017" w:rsidRDefault="0000000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Zalety i wady modelu Keynesa i modelu klasycznego w świetle skuteczności polityki makroekonomicznej.</w:t>
      </w:r>
    </w:p>
    <w:p w14:paraId="439480D6" w14:textId="77777777" w:rsidR="00CD5017" w:rsidRDefault="0000000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Pojęcie, instrumenty i cele polityki fiskalnej.</w:t>
      </w:r>
    </w:p>
    <w:p w14:paraId="331F648A" w14:textId="77777777" w:rsidR="00CD5017" w:rsidRDefault="0000000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Pojęcie, instrumenty i cele polityki monetarnej.</w:t>
      </w:r>
    </w:p>
    <w:p w14:paraId="5660D0F5" w14:textId="77777777" w:rsidR="00CD5017" w:rsidRDefault="0000000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Główne cechy współczesnego pieniądza.</w:t>
      </w:r>
    </w:p>
    <w:p w14:paraId="5B3D2423" w14:textId="77777777" w:rsidR="00CD5017" w:rsidRDefault="0000000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Pojęcie oraz zasady ustalania kosztu kapitału własnego, kapitału obcego i średniego ważonego kosztu kapitału.</w:t>
      </w:r>
    </w:p>
    <w:p w14:paraId="53A04A73" w14:textId="77777777" w:rsidR="00CD5017" w:rsidRDefault="0000000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Wartość zagrożona (Value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Risk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 jako miara ryzyka na rynku finansowym.</w:t>
      </w:r>
    </w:p>
    <w:p w14:paraId="475501A8" w14:textId="77777777" w:rsidR="00CD5017" w:rsidRDefault="0000000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Rola instytucji rynku pracy w gospodarce.</w:t>
      </w:r>
    </w:p>
    <w:p w14:paraId="232D68BE" w14:textId="77777777" w:rsidR="00CD5017" w:rsidRDefault="0000000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Pojęcie i znaczenie instytucji rynkowych dla rozwoju gospodarczego.</w:t>
      </w:r>
    </w:p>
    <w:p w14:paraId="20180B48" w14:textId="77777777" w:rsidR="00CD5017" w:rsidRDefault="00000000">
      <w:pPr>
        <w:pStyle w:val="Akapitzlist"/>
        <w:numPr>
          <w:ilvl w:val="0"/>
          <w:numId w:val="1"/>
        </w:numPr>
        <w:spacing w:line="276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Funkcjonowanie gospodarki w świetle ekonomii instytucjonalnej.</w:t>
      </w:r>
    </w:p>
    <w:p w14:paraId="55757CDB" w14:textId="77777777" w:rsidR="00CD5017" w:rsidRDefault="0000000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Metody wyceny przedsiębiorstw. </w:t>
      </w:r>
    </w:p>
    <w:p w14:paraId="1743C423" w14:textId="77777777" w:rsidR="00CD5017" w:rsidRDefault="0000000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Analiza finansowa a analiza ekonomiczna.</w:t>
      </w:r>
    </w:p>
    <w:p w14:paraId="1DC83FBE" w14:textId="77777777" w:rsidR="00CD5017" w:rsidRDefault="0000000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Rozwój konsultingu i istota niezależności świadczonych usług.</w:t>
      </w:r>
    </w:p>
    <w:p w14:paraId="26422B60" w14:textId="77777777" w:rsidR="00CD5017" w:rsidRDefault="0000000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Teorie międzynarodowej wymiany handlowej i polityka handlowa.</w:t>
      </w:r>
    </w:p>
    <w:p w14:paraId="5386C310" w14:textId="77777777" w:rsidR="00CD5017" w:rsidRDefault="0000000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Międzynarodowy przepływ czynników produkcji.</w:t>
      </w:r>
    </w:p>
    <w:p w14:paraId="73F617B3" w14:textId="77777777" w:rsidR="00CD5017" w:rsidRDefault="0000000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Międzyokresowe ograniczenie budżetowe w polityce fiskalnej i determinanty stabilności wskaźnika długu do PKB.</w:t>
      </w:r>
    </w:p>
    <w:p w14:paraId="42F81488" w14:textId="77777777" w:rsidR="00CD5017" w:rsidRDefault="0000000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Problem endogeniczności w świetle keynesowskiej teorii modelu konsumpcji.</w:t>
      </w:r>
    </w:p>
    <w:p w14:paraId="42386B77" w14:textId="77777777" w:rsidR="00CD5017" w:rsidRDefault="0000000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Zalety i wady PKB oraz innych alternatywnych miar działalności społeczno-gospodarczej.</w:t>
      </w:r>
    </w:p>
    <w:p w14:paraId="097F87B4" w14:textId="77777777" w:rsidR="00CD5017" w:rsidRDefault="0000000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Teoria portfelowa Markowitza.</w:t>
      </w:r>
    </w:p>
    <w:p w14:paraId="7C85C533" w14:textId="77777777" w:rsidR="00CD5017" w:rsidRDefault="0000000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Model wyceny aktywów kapitałowych (CAPM) i model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Sharpe’a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2EB3A4D" w14:textId="77777777" w:rsidR="00CD5017" w:rsidRDefault="00CD5017">
      <w:pPr>
        <w:jc w:val="both"/>
        <w:rPr>
          <w:rFonts w:ascii="Times New Roman" w:hAnsi="Times New Roman" w:cs="Times New Roman"/>
          <w:color w:val="000000"/>
        </w:rPr>
      </w:pPr>
    </w:p>
    <w:p w14:paraId="052870B8" w14:textId="77777777" w:rsidR="00CD5017" w:rsidRDefault="00CD5017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7B790706" w14:textId="77777777" w:rsidR="00CD5017" w:rsidRDefault="00CD5017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D0F7C9E" w14:textId="77777777" w:rsidR="00CD5017" w:rsidRDefault="00CD5017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62CBAF4" w14:textId="77777777" w:rsidR="00CD5017" w:rsidRDefault="00CD5017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7D0CD85C" w14:textId="77777777" w:rsidR="00CD5017" w:rsidRDefault="00CD5017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70D54AB0" w14:textId="77777777" w:rsidR="00CD5017" w:rsidRDefault="00000000">
      <w:pPr>
        <w:spacing w:after="0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Zagadnienia </w:t>
      </w:r>
      <w:r>
        <w:rPr>
          <w:rFonts w:ascii="Times New Roman" w:hAnsi="Times New Roman" w:cs="Times New Roman"/>
          <w:b/>
          <w:bCs/>
          <w:color w:val="00B0F0"/>
          <w:sz w:val="28"/>
          <w:szCs w:val="28"/>
        </w:rPr>
        <w:t xml:space="preserve">praktyczne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do egzaminu dyplomowego</w:t>
      </w:r>
    </w:p>
    <w:p w14:paraId="419F3926" w14:textId="77777777" w:rsidR="00CD5017" w:rsidRDefault="00000000">
      <w:pPr>
        <w:spacing w:after="0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kierunek </w:t>
      </w:r>
      <w:r>
        <w:rPr>
          <w:rFonts w:ascii="Times New Roman" w:hAnsi="Times New Roman" w:cs="Times New Roman"/>
          <w:b/>
          <w:bCs/>
          <w:color w:val="00B0F0"/>
          <w:sz w:val="28"/>
          <w:szCs w:val="28"/>
        </w:rPr>
        <w:t>Doradztwo inwestycyjno-gospodarcze</w:t>
      </w:r>
    </w:p>
    <w:p w14:paraId="14604059" w14:textId="77777777" w:rsidR="00CD5017" w:rsidRDefault="0000000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studia dualne I stopnia, profil praktyczny</w:t>
      </w:r>
    </w:p>
    <w:p w14:paraId="4B914C21" w14:textId="77777777" w:rsidR="00CD5017" w:rsidRDefault="00CD5017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02277DD" w14:textId="77777777" w:rsidR="00CD5017" w:rsidRDefault="00000000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Dźwignia operacyjna, finansowa i całkowita w działalności podmiotów gospodarczych.</w:t>
      </w:r>
    </w:p>
    <w:p w14:paraId="655D2603" w14:textId="77777777" w:rsidR="00CD5017" w:rsidRDefault="00000000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Metody wyceny instrumentów finansowych w praktyce gospodarczej (akcje, obligacje, instrumenty pochodne, instrumenty rynku pieniężnego).</w:t>
      </w:r>
    </w:p>
    <w:p w14:paraId="41881AEE" w14:textId="77777777" w:rsidR="00CD5017" w:rsidRDefault="00000000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Zasady analizy fundamentalnej spółek publicznych.</w:t>
      </w:r>
    </w:p>
    <w:p w14:paraId="1D7DEE23" w14:textId="77777777" w:rsidR="00CD5017" w:rsidRDefault="00000000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Czynniki kształtujące ceny na wybranym rynku towarowym.</w:t>
      </w:r>
    </w:p>
    <w:p w14:paraId="032567BF" w14:textId="77777777" w:rsidR="00CD5017" w:rsidRDefault="00000000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Wybrane taktyki ofertowe stosowane w transakcjach fuzji i przejęć (M&amp;A).</w:t>
      </w:r>
    </w:p>
    <w:p w14:paraId="4D09B240" w14:textId="77777777" w:rsidR="00CD5017" w:rsidRDefault="00000000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Zasady stosowania Ustawy o rachunkowości i MSR/MSSF przez polskie podmioty gospodarcze.</w:t>
      </w:r>
    </w:p>
    <w:p w14:paraId="08080D02" w14:textId="77777777" w:rsidR="00CD5017" w:rsidRDefault="00000000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Metody wyceny stosowane w rachunkowości polskich podmiotów gospodarczych.</w:t>
      </w:r>
    </w:p>
    <w:p w14:paraId="37E7C258" w14:textId="77777777" w:rsidR="00CD5017" w:rsidRDefault="00000000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Cechy profesjonalnego konsultanta.</w:t>
      </w:r>
    </w:p>
    <w:p w14:paraId="511781C9" w14:textId="77777777" w:rsidR="00CD5017" w:rsidRDefault="00000000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Determinanty i skutki notowań wybranego kursu walutowego dla podmiotów gospodarczych w Polsce.</w:t>
      </w:r>
    </w:p>
    <w:p w14:paraId="0DDAD15E" w14:textId="77777777" w:rsidR="00CD5017" w:rsidRDefault="00000000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Przyczyny rosnącej roli państwa w ramach współczesnych modeli gospodarczych.</w:t>
      </w:r>
    </w:p>
    <w:p w14:paraId="1E9EB25B" w14:textId="77777777" w:rsidR="00CD5017" w:rsidRDefault="00000000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Model społecznej gospodarki rynkowej i realizacja jej założeń w Polsce.</w:t>
      </w:r>
    </w:p>
    <w:p w14:paraId="492D112B" w14:textId="77777777" w:rsidR="00CD5017" w:rsidRDefault="00000000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Procedura aplikowania o fundusze unijne przez polskie podmioty gospodarcze.</w:t>
      </w:r>
    </w:p>
    <w:p w14:paraId="60F87CBB" w14:textId="77777777" w:rsidR="00CD5017" w:rsidRDefault="00000000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Kwalifikowalność kosztów w projektach unijnych.</w:t>
      </w:r>
    </w:p>
    <w:p w14:paraId="37D5F12B" w14:textId="77777777" w:rsidR="00CD5017" w:rsidRDefault="00000000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Sprawozdania finansowe według Ustawy o rachunkowości – składniki oraz terminy sporządzania, zatwierdzania i składania.</w:t>
      </w:r>
    </w:p>
    <w:p w14:paraId="2591D34B" w14:textId="77777777" w:rsidR="00CD5017" w:rsidRDefault="00000000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Wskaźniki analizy finansowej – zastosowanie w praktyce i ich wartość informacyjna.</w:t>
      </w:r>
    </w:p>
    <w:p w14:paraId="6663A176" w14:textId="77777777" w:rsidR="00CD5017" w:rsidRDefault="00000000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Analiza progu rentowności w przedsiębiorstwach.</w:t>
      </w:r>
    </w:p>
    <w:p w14:paraId="17361512" w14:textId="77777777" w:rsidR="00CD5017" w:rsidRDefault="00000000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Czynności doradztwa inwestycyjnego.</w:t>
      </w:r>
    </w:p>
    <w:p w14:paraId="10D307EB" w14:textId="77777777" w:rsidR="00CD5017" w:rsidRDefault="00000000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Zarządzanie portfelem inwestycyjnym w praktyce.</w:t>
      </w:r>
    </w:p>
    <w:p w14:paraId="0AE37494" w14:textId="77777777" w:rsidR="00CD5017" w:rsidRDefault="00000000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Zasady i istota przygotowywania rekomendacji inwestycyjnych w zakresie wyceny instrumentów finansowych na rynkach.</w:t>
      </w:r>
    </w:p>
    <w:p w14:paraId="52FBF9B4" w14:textId="77777777" w:rsidR="00CD5017" w:rsidRDefault="00000000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Rynki spot i rynki terminowe.</w:t>
      </w:r>
    </w:p>
    <w:sectPr w:rsidR="00CD5017">
      <w:headerReference w:type="default" r:id="rId7"/>
      <w:pgSz w:w="11906" w:h="16838"/>
      <w:pgMar w:top="709" w:right="1133" w:bottom="28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27AF3" w14:textId="77777777" w:rsidR="00534089" w:rsidRDefault="00534089">
      <w:pPr>
        <w:spacing w:after="0" w:line="240" w:lineRule="auto"/>
      </w:pPr>
      <w:r>
        <w:separator/>
      </w:r>
    </w:p>
  </w:endnote>
  <w:endnote w:type="continuationSeparator" w:id="0">
    <w:p w14:paraId="6B97D5DE" w14:textId="77777777" w:rsidR="00534089" w:rsidRDefault="00534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527E1" w14:textId="77777777" w:rsidR="00534089" w:rsidRDefault="0053408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40A3CC9" w14:textId="77777777" w:rsidR="00534089" w:rsidRDefault="00534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B2BD" w14:textId="77777777" w:rsidR="008030E0" w:rsidRDefault="00000000">
    <w:pPr>
      <w:pStyle w:val="Nagwek"/>
    </w:pPr>
    <w:r>
      <w:rPr>
        <w:noProof/>
      </w:rPr>
      <w:drawing>
        <wp:inline distT="0" distB="0" distL="0" distR="0" wp14:anchorId="754E07E2" wp14:editId="4D916FE6">
          <wp:extent cx="1717197" cy="403195"/>
          <wp:effectExtent l="0" t="0" r="0" b="0"/>
          <wp:docPr id="1981103728" name="Obraz 1" descr="Obraz zawierający Czcionka, Grafika, projekt graficzny, teks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7197" cy="4031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07EE7"/>
    <w:multiLevelType w:val="multilevel"/>
    <w:tmpl w:val="75AA6672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0167D"/>
    <w:multiLevelType w:val="multilevel"/>
    <w:tmpl w:val="CA4A25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395779677">
    <w:abstractNumId w:val="1"/>
  </w:num>
  <w:num w:numId="2" w16cid:durableId="1091656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D5017"/>
    <w:rsid w:val="00534089"/>
    <w:rsid w:val="00694F79"/>
    <w:rsid w:val="00CD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8175E"/>
  <w15:docId w15:val="{73EE6DBB-9EED-4D39-8738-7A76FE43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4">
    <w:name w:val="heading 4"/>
    <w:basedOn w:val="Normalny"/>
    <w:uiPriority w:val="9"/>
    <w:semiHidden/>
    <w:unhideWhenUsed/>
    <w:qFormat/>
    <w:pPr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Nagwek4Znak">
    <w:name w:val="Nagłówek 4 Znak"/>
    <w:basedOn w:val="Domylnaczcionkaakapitu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</w:rPr>
  </w:style>
  <w:style w:type="character" w:customStyle="1" w:styleId="elementor-icon-list-text">
    <w:name w:val="elementor-icon-list-text"/>
    <w:basedOn w:val="Domylnaczcionkaakapitu"/>
  </w:style>
  <w:style w:type="character" w:customStyle="1" w:styleId="litera">
    <w:name w:val="litera"/>
    <w:basedOn w:val="Domylnaczcionkaakapitu"/>
  </w:style>
  <w:style w:type="character" w:styleId="Uwydatnienie">
    <w:name w:val="Emphasis"/>
    <w:basedOn w:val="Domylnaczcionkaakapitu"/>
    <w:rPr>
      <w:i/>
      <w:iCs/>
    </w:rPr>
  </w:style>
  <w:style w:type="paragraph" w:customStyle="1" w:styleId="x-scope">
    <w:name w:val="x-scope"/>
    <w:basedOn w:val="Normalny"/>
    <w:pPr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Poprawka">
    <w:name w:val="Revision"/>
    <w:pPr>
      <w:suppressAutoHyphens/>
      <w:spacing w:after="0" w:line="240" w:lineRule="auto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Kudełko</dc:creator>
  <dc:description/>
  <cp:lastModifiedBy>Michał Gluszak</cp:lastModifiedBy>
  <cp:revision>2</cp:revision>
  <dcterms:created xsi:type="dcterms:W3CDTF">2023-06-13T16:43:00Z</dcterms:created>
  <dcterms:modified xsi:type="dcterms:W3CDTF">2023-06-13T16:43:00Z</dcterms:modified>
</cp:coreProperties>
</file>